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E" w:rsidRPr="002A7795" w:rsidRDefault="002A7795" w:rsidP="002A7795">
      <w:pPr>
        <w:pStyle w:val="1"/>
        <w:rPr>
          <w:rFonts w:asciiTheme="minorHAnsi" w:hAnsiTheme="minorHAnsi" w:cstheme="minorHAnsi"/>
        </w:rPr>
      </w:pPr>
      <w:bookmarkStart w:id="0" w:name="_GoBack"/>
      <w:r w:rsidRPr="002A7795">
        <w:rPr>
          <w:rFonts w:asciiTheme="minorHAnsi" w:hAnsiTheme="minorHAnsi" w:cstheme="minorHAnsi"/>
        </w:rPr>
        <w:t>Контейнер для ДЭС</w:t>
      </w:r>
      <w:r w:rsidRPr="002A7795">
        <w:rPr>
          <w:rFonts w:asciiTheme="minorHAnsi" w:hAnsiTheme="minorHAnsi" w:cstheme="minorHAnsi"/>
        </w:rPr>
        <w:t xml:space="preserve"> Caterpillar 3512</w:t>
      </w:r>
    </w:p>
    <w:bookmarkEnd w:id="0"/>
    <w:p w:rsidR="002A7795" w:rsidRDefault="002A7795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Дизельная электростанция (далее ДЭС) выходной мощностью</w:t>
      </w:r>
      <w:r>
        <w:rPr>
          <w:rFonts w:ascii="Arial Narrow" w:hAnsi="Arial Narrow"/>
          <w:sz w:val="28"/>
          <w:szCs w:val="28"/>
        </w:rPr>
        <w:t xml:space="preserve"> 1275</w:t>
      </w:r>
      <w:r>
        <w:rPr>
          <w:rFonts w:ascii="Arial Narrow" w:hAnsi="Arial Narrow"/>
          <w:sz w:val="28"/>
          <w:szCs w:val="28"/>
          <w:lang w:val="en-US"/>
        </w:rPr>
        <w:t> </w:t>
      </w:r>
      <w:r>
        <w:rPr>
          <w:rFonts w:ascii="Arial Narrow" w:hAnsi="Arial Narrow"/>
          <w:sz w:val="28"/>
          <w:szCs w:val="28"/>
        </w:rPr>
        <w:t xml:space="preserve">кВА (1020 кВт) </w:t>
      </w:r>
      <w:r>
        <w:rPr>
          <w:rFonts w:ascii="Arial Narrow" w:hAnsi="Arial Narrow" w:cs="Courier New"/>
          <w:sz w:val="28"/>
          <w:szCs w:val="28"/>
        </w:rPr>
        <w:t>предназначена для электроснабжения потребителей трехфазным переменным током напряжением 400 В и частотой 50 Гц.</w:t>
      </w: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ДЭС выполнена на базе дизельной генераторной установки (ДГУ) Caterpillar 3512. Общий вид ДГУ представлен на рисунке 1.</w:t>
      </w: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Исполнение электростанции – в контейнере.</w:t>
      </w: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Режим работы ДЭС – резервный источник. </w:t>
      </w: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Вид топлива – дизельное топливо.</w:t>
      </w:r>
    </w:p>
    <w:p w:rsidR="00F66E8E" w:rsidRDefault="00F66E8E" w:rsidP="00F66E8E">
      <w:pPr>
        <w:ind w:firstLine="709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Управление работой ДГУ осуществляется полностью автоматически через микропроцессорные программируемые контроллеры, управление которых выполняется с помощью программного обеспечения и отдельной системы контроля.</w:t>
      </w:r>
      <w:r>
        <w:rPr>
          <w:rFonts w:ascii="Arial Narrow" w:hAnsi="Arial Narrow" w:cs="Courier N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DEAA36" wp14:editId="0F3497BC">
            <wp:simplePos x="0" y="0"/>
            <wp:positionH relativeFrom="column">
              <wp:posOffset>-74930</wp:posOffset>
            </wp:positionH>
            <wp:positionV relativeFrom="paragraph">
              <wp:posOffset>833120</wp:posOffset>
            </wp:positionV>
            <wp:extent cx="6083300" cy="25888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8E" w:rsidRDefault="00F66E8E" w:rsidP="00F66E8E">
      <w:pPr>
        <w:tabs>
          <w:tab w:val="left" w:pos="0"/>
        </w:tabs>
        <w:spacing w:before="120" w:line="360" w:lineRule="auto"/>
        <w:ind w:right="1083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Рисунок 1. Общий вид ДГУ 3512</w:t>
      </w:r>
    </w:p>
    <w:p w:rsidR="00F66E8E" w:rsidRDefault="00F66E8E" w:rsidP="00F66E8E">
      <w:pPr>
        <w:pStyle w:val="2"/>
        <w:numPr>
          <w:ilvl w:val="1"/>
          <w:numId w:val="2"/>
        </w:numPr>
        <w:ind w:left="1797" w:firstLine="0"/>
      </w:pPr>
      <w:bookmarkStart w:id="1" w:name="_Toc404869748"/>
      <w:bookmarkStart w:id="2" w:name="_Toc382571798"/>
      <w:bookmarkEnd w:id="1"/>
      <w:bookmarkEnd w:id="2"/>
      <w:r>
        <w:t>Технические характеристики двигателя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173"/>
        <w:gridCol w:w="5397"/>
      </w:tblGrid>
      <w:tr w:rsidR="00F66E8E" w:rsidTr="003E728C">
        <w:trPr>
          <w:cantSplit/>
          <w:trHeight w:val="363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Производитель: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Caterpillar Inc.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Двигатель: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4-тактный, дизельный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Назначение: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Выработка электроэнергии в режиме основного источника электропитания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Расположение цилиндров: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V-образное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Количество цилиндров: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12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Диаметр цилиндра: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170 мм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Ход поршня: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190 мм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Рабочий объем: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51,8л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Аспирация: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sz w:val="28"/>
              </w:rPr>
            </w:pPr>
            <w:r>
              <w:rPr>
                <w:rFonts w:ascii="Arial Narrow" w:hAnsi="Arial Narrow"/>
                <w:iCs/>
                <w:sz w:val="28"/>
              </w:rPr>
              <w:t>Турбонаддув с последующим охлаждением  наддувочного воздуха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Степень сжатия: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13,5:1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lastRenderedPageBreak/>
              <w:t>Мощность на выходе: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1275 кВА – 1020 эл.кВт</w:t>
            </w:r>
          </w:p>
        </w:tc>
      </w:tr>
      <w:tr w:rsidR="00F66E8E" w:rsidTr="003E728C">
        <w:trPr>
          <w:cantSplit/>
          <w:trHeight w:val="345"/>
          <w:jc w:val="center"/>
        </w:trPr>
        <w:tc>
          <w:tcPr>
            <w:tcW w:w="4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Количество оборотов в мин:</w:t>
            </w:r>
          </w:p>
        </w:tc>
        <w:tc>
          <w:tcPr>
            <w:tcW w:w="5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ind w:right="3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1500 об/мин</w:t>
            </w:r>
          </w:p>
        </w:tc>
      </w:tr>
    </w:tbl>
    <w:p w:rsidR="00F66E8E" w:rsidRDefault="00F66E8E" w:rsidP="00F66E8E">
      <w:pPr>
        <w:pStyle w:val="2"/>
        <w:numPr>
          <w:ilvl w:val="1"/>
          <w:numId w:val="2"/>
        </w:numPr>
        <w:ind w:left="1797" w:firstLine="0"/>
      </w:pPr>
      <w:bookmarkStart w:id="3" w:name="_Toc404869749"/>
      <w:bookmarkStart w:id="4" w:name="_Toc382571799"/>
      <w:bookmarkEnd w:id="3"/>
      <w:bookmarkEnd w:id="4"/>
      <w:r>
        <w:t>Технические параметры генератора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28"/>
        <w:gridCol w:w="5559"/>
      </w:tblGrid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  <w:lang w:val="en-US"/>
              </w:rPr>
              <w:t>Номинальная мощность</w:t>
            </w:r>
            <w:r>
              <w:rPr>
                <w:rFonts w:ascii="Arial Narrow" w:hAnsi="Arial Narrow"/>
                <w:iCs/>
                <w:color w:val="000000"/>
                <w:sz w:val="28"/>
              </w:rPr>
              <w:t>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1275 кВА @ 0.8 коэф. Мощности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Напряжение: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400 В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Частота: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50 Гц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Скорость: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1500 об/мин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Изоляция: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Класс «H»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Количество подшипников: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Один подшипник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Соединение: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Смонтированы напрямую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Возбуждение: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С самовозбуждением</w:t>
            </w:r>
          </w:p>
        </w:tc>
      </w:tr>
      <w:tr w:rsidR="00F66E8E" w:rsidTr="003E728C">
        <w:trPr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Допустимое превышение скорости: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150% синхронной скорости</w:t>
            </w:r>
          </w:p>
        </w:tc>
      </w:tr>
      <w:tr w:rsidR="00F66E8E" w:rsidTr="003E728C">
        <w:trPr>
          <w:trHeight w:val="363"/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Форма сигнала: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Отклонение менее 2%</w:t>
            </w:r>
          </w:p>
        </w:tc>
      </w:tr>
      <w:tr w:rsidR="00F66E8E" w:rsidTr="003E728C">
        <w:trPr>
          <w:trHeight w:val="453"/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Регулятор напряжения: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rPr>
                <w:rFonts w:ascii="Arial Narrow" w:hAnsi="Arial Narrow"/>
                <w:iCs/>
                <w:sz w:val="28"/>
              </w:rPr>
            </w:pPr>
            <w:r>
              <w:rPr>
                <w:rFonts w:ascii="Arial Narrow" w:hAnsi="Arial Narrow"/>
                <w:iCs/>
                <w:sz w:val="28"/>
                <w:lang w:val="en-US"/>
              </w:rPr>
              <w:t>CDVR</w:t>
            </w:r>
            <w:r>
              <w:rPr>
                <w:rFonts w:ascii="Arial Narrow" w:hAnsi="Arial Narrow"/>
                <w:iCs/>
                <w:sz w:val="28"/>
              </w:rPr>
              <w:t xml:space="preserve"> </w:t>
            </w:r>
          </w:p>
        </w:tc>
      </w:tr>
      <w:tr w:rsidR="00F66E8E" w:rsidTr="003E728C">
        <w:trPr>
          <w:trHeight w:val="363"/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Регулирование напряжения: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Менее ± 0.5% (в условиях стабильной работы)</w:t>
            </w:r>
          </w:p>
          <w:p w:rsidR="00F66E8E" w:rsidRDefault="00F66E8E" w:rsidP="003E728C">
            <w:pPr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Менее ± 1% (3% при изменении скорости)</w:t>
            </w:r>
          </w:p>
        </w:tc>
      </w:tr>
      <w:tr w:rsidR="00F66E8E" w:rsidTr="003E728C">
        <w:trPr>
          <w:trHeight w:val="363"/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Коэффициент помех проводной связи: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Менее 50</w:t>
            </w:r>
          </w:p>
        </w:tc>
      </w:tr>
      <w:tr w:rsidR="00F66E8E" w:rsidTr="003E728C">
        <w:trPr>
          <w:trHeight w:val="363"/>
          <w:jc w:val="center"/>
        </w:trPr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jc w:val="center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Коэффициент синусоидальности:</w:t>
            </w:r>
          </w:p>
        </w:tc>
        <w:tc>
          <w:tcPr>
            <w:tcW w:w="5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6E8E" w:rsidRDefault="00F66E8E" w:rsidP="003E728C">
            <w:pPr>
              <w:spacing w:before="60"/>
              <w:rPr>
                <w:rFonts w:ascii="Arial Narrow" w:hAnsi="Arial Narrow"/>
                <w:iCs/>
                <w:color w:val="000000"/>
                <w:sz w:val="28"/>
              </w:rPr>
            </w:pPr>
            <w:r>
              <w:rPr>
                <w:rFonts w:ascii="Arial Narrow" w:hAnsi="Arial Narrow"/>
                <w:iCs/>
                <w:color w:val="000000"/>
                <w:sz w:val="28"/>
              </w:rPr>
              <w:t>Менее 5%</w:t>
            </w:r>
          </w:p>
        </w:tc>
      </w:tr>
    </w:tbl>
    <w:p w:rsidR="00F66E8E" w:rsidRDefault="00F66E8E" w:rsidP="00F66E8E">
      <w:pPr>
        <w:pStyle w:val="2"/>
        <w:numPr>
          <w:ilvl w:val="1"/>
          <w:numId w:val="2"/>
        </w:numPr>
        <w:ind w:left="1797" w:firstLine="0"/>
      </w:pPr>
      <w:bookmarkStart w:id="5" w:name="_Toc404869750"/>
      <w:bookmarkStart w:id="6" w:name="_Toc382571800"/>
      <w:bookmarkStart w:id="7" w:name="_Toc370399908"/>
      <w:bookmarkEnd w:id="5"/>
      <w:bookmarkEnd w:id="6"/>
      <w:bookmarkEnd w:id="7"/>
      <w:r>
        <w:t>Вспомогательные системы ДГУ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8" w:name="_Toc404869751"/>
      <w:bookmarkStart w:id="9" w:name="_Toc382571801"/>
      <w:bookmarkStart w:id="10" w:name="_Toc370399909"/>
      <w:bookmarkEnd w:id="8"/>
      <w:bookmarkEnd w:id="9"/>
      <w:bookmarkEnd w:id="10"/>
      <w:r>
        <w:t>Система впуска воздуха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Двухступенчатый воздушный фильтр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Индикатор засорения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11" w:name="_Toc404869752"/>
      <w:bookmarkStart w:id="12" w:name="_Toc382571802"/>
      <w:bookmarkStart w:id="13" w:name="_Toc370399910"/>
      <w:r>
        <w:t>Система выхлопа</w:t>
      </w:r>
      <w:bookmarkEnd w:id="11"/>
      <w:bookmarkEnd w:id="12"/>
      <w:bookmarkEnd w:id="13"/>
      <w:r>
        <w:t xml:space="preserve">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Коллектор выхлопа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Глушитель (для монтажа на двигателе)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14" w:name="_Toc404869753"/>
      <w:bookmarkStart w:id="15" w:name="_Toc382571803"/>
      <w:bookmarkStart w:id="16" w:name="_Toc370399911"/>
      <w:r>
        <w:t>Система подачи топлива</w:t>
      </w:r>
      <w:bookmarkEnd w:id="14"/>
      <w:bookmarkEnd w:id="15"/>
      <w:bookmarkEnd w:id="16"/>
      <w:r>
        <w:t xml:space="preserve">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Фильтр грубой очистки с встроенным влагоотделителем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Фильтр тонкой очистки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Охладитель топлива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Насос подкачки топлива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Насос для перекачивания топлива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Гибкие топливопроводы</w:t>
      </w:r>
    </w:p>
    <w:p w:rsidR="00F66E8E" w:rsidRDefault="00F66E8E" w:rsidP="00F66E8E">
      <w:pPr>
        <w:ind w:left="709"/>
        <w:jc w:val="both"/>
        <w:rPr>
          <w:rFonts w:ascii="Arial Narrow" w:hAnsi="Arial Narrow"/>
          <w:iCs/>
          <w:sz w:val="28"/>
          <w:szCs w:val="28"/>
        </w:rPr>
      </w:pP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17" w:name="_Toc404869754"/>
      <w:bookmarkStart w:id="18" w:name="_Toc382571804"/>
      <w:bookmarkStart w:id="19" w:name="_Toc370399912"/>
      <w:r>
        <w:lastRenderedPageBreak/>
        <w:t>Система пуска</w:t>
      </w:r>
      <w:bookmarkEnd w:id="17"/>
      <w:bookmarkEnd w:id="18"/>
      <w:bookmarkEnd w:id="19"/>
      <w:r>
        <w:t xml:space="preserve"> 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Стартер 24 В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Аккумуляторные батареи с подставкой и соединительными проводами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Зарядный генератор 45 А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20" w:name="_Toc404869755"/>
      <w:bookmarkStart w:id="21" w:name="_Toc382571805"/>
      <w:bookmarkStart w:id="22" w:name="_Toc370399913"/>
      <w:bookmarkEnd w:id="20"/>
      <w:bookmarkEnd w:id="21"/>
      <w:bookmarkEnd w:id="22"/>
      <w:r>
        <w:t>Система охлаждения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Радиатор с ограждением (50 °C)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Линия отвода ОЖ с клапаном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Вентилятор с ограждением ременной передачи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ОЖ Caterpillar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Датчик низкого уровня ОЖ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23" w:name="_Toc404869756"/>
      <w:bookmarkStart w:id="24" w:name="_Toc382571806"/>
      <w:bookmarkStart w:id="25" w:name="_Toc370399914"/>
      <w:bookmarkEnd w:id="23"/>
      <w:bookmarkEnd w:id="24"/>
      <w:bookmarkEnd w:id="25"/>
      <w:r>
        <w:t>Система смазки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Масло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Фильтр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Линии слива масла с клапаном 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Отвод картерных газов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26" w:name="_Toc404869757"/>
      <w:bookmarkStart w:id="27" w:name="_Toc382571807"/>
      <w:bookmarkStart w:id="28" w:name="_Toc370399915"/>
      <w:bookmarkEnd w:id="26"/>
      <w:bookmarkEnd w:id="27"/>
      <w:bookmarkEnd w:id="28"/>
      <w:r>
        <w:t>Регулирование оборотов двигателя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Астатический регулятор оборотов Woodward 2301A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29" w:name="_Toc404869758"/>
      <w:bookmarkStart w:id="30" w:name="_Toc382571808"/>
      <w:bookmarkStart w:id="31" w:name="_Toc370399916"/>
      <w:bookmarkEnd w:id="29"/>
      <w:bookmarkEnd w:id="30"/>
      <w:bookmarkEnd w:id="31"/>
      <w:r>
        <w:t>Оборудование для монтажа</w:t>
      </w:r>
    </w:p>
    <w:p w:rsidR="00F66E8E" w:rsidRDefault="00F66E8E" w:rsidP="00F66E8E">
      <w:pPr>
        <w:numPr>
          <w:ilvl w:val="0"/>
          <w:numId w:val="1"/>
        </w:numPr>
        <w:ind w:left="0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Демпферы линейных вибраций, установленные между основанием и генераторной установкой 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32" w:name="_Toc404869759"/>
      <w:bookmarkStart w:id="33" w:name="_Toc382571809"/>
      <w:bookmarkStart w:id="34" w:name="_Toc370399917"/>
      <w:bookmarkEnd w:id="32"/>
      <w:bookmarkEnd w:id="33"/>
      <w:bookmarkEnd w:id="34"/>
      <w:r>
        <w:t>Панель управления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Установленная на генераторе, панель управления EMCP 4.2, с защитой от пыли, степень защиты по стандарту IP-52, включает в себя следующее:</w:t>
      </w:r>
    </w:p>
    <w:p w:rsidR="00F66E8E" w:rsidRDefault="00F66E8E" w:rsidP="00F66E8E">
      <w:pPr>
        <w:tabs>
          <w:tab w:val="left" w:pos="3559"/>
        </w:tabs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:rsidR="00F66E8E" w:rsidRDefault="00F66E8E" w:rsidP="00F66E8E">
      <w:pPr>
        <w:ind w:firstLine="709"/>
        <w:jc w:val="both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 xml:space="preserve">Конструкция панели и покрытие корпуса: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Компоненты панели управления размещены в стальном корпусе, предназначенном для работы в тяжелых условиях. Предварительная обработка фосфатом обеспечивает устойчивость металла к коррозии. Верхнее покрытие из полиэфирного композита придает корпусу повышенную прочность.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iCs/>
          <w:sz w:val="28"/>
          <w:szCs w:val="28"/>
        </w:rPr>
      </w:pPr>
    </w:p>
    <w:p w:rsidR="00F66E8E" w:rsidRDefault="00F66E8E" w:rsidP="00F66E8E">
      <w:pPr>
        <w:ind w:firstLine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Размещение:</w:t>
      </w:r>
      <w:r>
        <w:rPr>
          <w:rFonts w:ascii="Arial Narrow" w:hAnsi="Arial Narrow"/>
          <w:iCs/>
          <w:sz w:val="28"/>
          <w:szCs w:val="28"/>
        </w:rPr>
        <w:t xml:space="preserve"> Панель управления установлена на консоли из прочной стали, смонтированной на основании генераторной установки, с изоляцией вибраций, вырабатываемых генераторной установкой.</w:t>
      </w:r>
    </w:p>
    <w:p w:rsidR="00F66E8E" w:rsidRDefault="00F66E8E" w:rsidP="00F66E8E">
      <w:pPr>
        <w:rPr>
          <w:rFonts w:ascii="Arial Narrow" w:hAnsi="Arial Narrow"/>
          <w:b/>
        </w:rPr>
      </w:pPr>
    </w:p>
    <w:p w:rsidR="00F66E8E" w:rsidRDefault="00F66E8E" w:rsidP="00F66E8E">
      <w:pPr>
        <w:ind w:firstLine="709"/>
        <w:rPr>
          <w:rFonts w:ascii="Arial Narrow" w:hAnsi="Arial Narrow" w:cs="Arial"/>
          <w:b/>
        </w:rPr>
      </w:pPr>
      <w:r>
        <w:rPr>
          <w:rFonts w:ascii="Arial Narrow" w:hAnsi="Arial Narrow"/>
          <w:b/>
          <w:iCs/>
          <w:sz w:val="28"/>
          <w:szCs w:val="28"/>
        </w:rPr>
        <w:t>ФУНКЦИИ УПРАВЛЕНИЯ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B3342E8" wp14:editId="189A83AB">
            <wp:simplePos x="0" y="0"/>
            <wp:positionH relativeFrom="column">
              <wp:posOffset>4632325</wp:posOffset>
            </wp:positionH>
            <wp:positionV relativeFrom="paragraph">
              <wp:posOffset>-290195</wp:posOffset>
            </wp:positionV>
            <wp:extent cx="1318260" cy="105219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8E" w:rsidRDefault="00F66E8E" w:rsidP="00F66E8E">
      <w:pPr>
        <w:pStyle w:val="a3"/>
        <w:numPr>
          <w:ilvl w:val="0"/>
          <w:numId w:val="1"/>
        </w:num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  <w:iCs/>
          <w:sz w:val="28"/>
          <w:szCs w:val="28"/>
        </w:rPr>
        <w:t>Автоматический режим /Пуск/Останов</w:t>
      </w:r>
    </w:p>
    <w:p w:rsidR="00F66E8E" w:rsidRDefault="00F66E8E" w:rsidP="00F66E8E">
      <w:pPr>
        <w:pStyle w:val="a3"/>
        <w:numPr>
          <w:ilvl w:val="0"/>
          <w:numId w:val="1"/>
        </w:num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Таймер системы останова для охлаждения двигателя</w:t>
      </w:r>
    </w:p>
    <w:p w:rsidR="00F66E8E" w:rsidRDefault="00F66E8E" w:rsidP="00F66E8E">
      <w:pPr>
        <w:pStyle w:val="a3"/>
        <w:numPr>
          <w:ilvl w:val="0"/>
          <w:numId w:val="1"/>
        </w:num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Аварийный останов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108585</wp:posOffset>
                </wp:positionV>
                <wp:extent cx="1812925" cy="504190"/>
                <wp:effectExtent l="12700" t="9525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8E" w:rsidRDefault="00F66E8E" w:rsidP="00F66E8E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Рисунок 2. Панель управления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  <w:t>EMCP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26.4pt;margin-top:8.55pt;width:142.7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" strokecolor="white" strokeweight="0">
                <v:textbox>
                  <w:txbxContent>
                    <w:p w:rsidR="00F66E8E" w:rsidRDefault="00F66E8E" w:rsidP="00F66E8E">
                      <w:pPr>
                        <w:pStyle w:val="a4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Рисунок 2. Панель управления </w:t>
                      </w:r>
                      <w:r>
                        <w:rPr>
                          <w:rFonts w:ascii="Arial Narrow" w:hAnsi="Arial Narrow"/>
                          <w:sz w:val="28"/>
                          <w:lang w:val="en-US"/>
                        </w:rPr>
                        <w:t>EMCP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4.2</w:t>
                      </w:r>
                    </w:p>
                  </w:txbxContent>
                </v:textbox>
              </v:rect>
            </w:pict>
          </mc:Fallback>
        </mc:AlternateContent>
      </w:r>
    </w:p>
    <w:p w:rsidR="00F66E8E" w:rsidRDefault="00F66E8E" w:rsidP="00F66E8E">
      <w:pPr>
        <w:pStyle w:val="a3"/>
        <w:numPr>
          <w:ilvl w:val="0"/>
          <w:numId w:val="1"/>
        </w:num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Прокрутка коленвала двигателя</w:t>
      </w:r>
    </w:p>
    <w:p w:rsidR="00F66E8E" w:rsidRDefault="00F66E8E" w:rsidP="00F66E8E">
      <w:pPr>
        <w:pStyle w:val="a3"/>
        <w:numPr>
          <w:ilvl w:val="0"/>
          <w:numId w:val="1"/>
        </w:num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lastRenderedPageBreak/>
        <w:t>Тест ламп</w:t>
      </w:r>
    </w:p>
    <w:p w:rsidR="00F66E8E" w:rsidRDefault="00F66E8E" w:rsidP="00F66E8E">
      <w:pPr>
        <w:ind w:firstLine="709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ЦИФРОВОЙ ЖИДКОКРИСТАЛЛИЧЕСКИЙ ДИСПЛЕЙ ДЛЯ ИНДИКАЦИИ:</w:t>
      </w:r>
    </w:p>
    <w:p w:rsidR="00F66E8E" w:rsidRDefault="00F66E8E" w:rsidP="00F66E8E">
      <w:pPr>
        <w:pStyle w:val="a3"/>
        <w:numPr>
          <w:ilvl w:val="0"/>
          <w:numId w:val="5"/>
        </w:numPr>
        <w:ind w:left="709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Напряжение генератора переменного тока - по трем фазам (линейное и фазное)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Переменный ток генератора (по каждой фазе и среднее значение)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Частота генератора</w:t>
      </w:r>
    </w:p>
    <w:p w:rsidR="00F66E8E" w:rsidRDefault="00F66E8E" w:rsidP="00F66E8E">
      <w:pPr>
        <w:pStyle w:val="a3"/>
        <w:numPr>
          <w:ilvl w:val="0"/>
          <w:numId w:val="3"/>
        </w:numPr>
        <w:ind w:left="0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Обороты двигателя</w:t>
      </w:r>
    </w:p>
    <w:p w:rsidR="00F66E8E" w:rsidRDefault="00F66E8E" w:rsidP="00F66E8E">
      <w:pPr>
        <w:pStyle w:val="a3"/>
        <w:numPr>
          <w:ilvl w:val="0"/>
          <w:numId w:val="3"/>
        </w:numPr>
        <w:ind w:left="0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Напряжение аккумуляторной батареи 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Наработанные часы </w:t>
      </w:r>
    </w:p>
    <w:p w:rsidR="00F66E8E" w:rsidRDefault="00F66E8E" w:rsidP="00F66E8E">
      <w:pPr>
        <w:pStyle w:val="a3"/>
        <w:numPr>
          <w:ilvl w:val="0"/>
          <w:numId w:val="3"/>
        </w:numPr>
        <w:ind w:left="0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Давление масла</w:t>
      </w:r>
    </w:p>
    <w:p w:rsidR="00F66E8E" w:rsidRDefault="00F66E8E" w:rsidP="00F66E8E">
      <w:pPr>
        <w:pStyle w:val="a3"/>
        <w:numPr>
          <w:ilvl w:val="0"/>
          <w:numId w:val="3"/>
        </w:numPr>
        <w:ind w:left="0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Температура ОЖ</w:t>
      </w:r>
    </w:p>
    <w:p w:rsidR="00F66E8E" w:rsidRDefault="00F66E8E" w:rsidP="00F66E8E">
      <w:pPr>
        <w:pStyle w:val="a3"/>
        <w:numPr>
          <w:ilvl w:val="0"/>
          <w:numId w:val="3"/>
        </w:numPr>
        <w:ind w:left="0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Журнал на 20 аварийных отказов </w:t>
      </w:r>
    </w:p>
    <w:p w:rsidR="00F66E8E" w:rsidRDefault="00F66E8E" w:rsidP="00F66E8E">
      <w:pPr>
        <w:ind w:firstLine="709"/>
        <w:rPr>
          <w:rFonts w:ascii="Arial Narrow" w:hAnsi="Arial Narrow"/>
          <w:b/>
          <w:iCs/>
          <w:sz w:val="28"/>
          <w:szCs w:val="28"/>
        </w:rPr>
      </w:pPr>
    </w:p>
    <w:p w:rsidR="00F66E8E" w:rsidRDefault="00F66E8E" w:rsidP="00F66E8E">
      <w:pPr>
        <w:ind w:firstLine="709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АВАРИЙНОЕ ОПОВЕЩЕНИЕ / ОСТАНОВ: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Превышение числа пусков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Перегрев ОЖ: аварийный сигнал /останов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Низкое давление масла: аварийный сигнал /останов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Превышение скорости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Высокое /низкое напряжение батареи</w:t>
      </w:r>
    </w:p>
    <w:p w:rsidR="00F66E8E" w:rsidRDefault="00F66E8E" w:rsidP="00F66E8E">
      <w:pPr>
        <w:pStyle w:val="a3"/>
        <w:numPr>
          <w:ilvl w:val="0"/>
          <w:numId w:val="3"/>
        </w:numPr>
        <w:ind w:left="284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Активация аварийного останова </w:t>
      </w:r>
    </w:p>
    <w:p w:rsidR="00F66E8E" w:rsidRDefault="00F66E8E" w:rsidP="00F66E8E">
      <w:pPr>
        <w:jc w:val="center"/>
        <w:rPr>
          <w:rFonts w:ascii="Arial Narrow" w:hAnsi="Arial Narrow"/>
          <w:b/>
          <w:caps/>
          <w:sz w:val="32"/>
          <w:szCs w:val="32"/>
        </w:rPr>
      </w:pPr>
    </w:p>
    <w:p w:rsidR="00F66E8E" w:rsidRDefault="00F66E8E" w:rsidP="00F66E8E">
      <w:pPr>
        <w:pStyle w:val="2"/>
        <w:numPr>
          <w:ilvl w:val="1"/>
          <w:numId w:val="2"/>
        </w:numPr>
        <w:ind w:left="1797" w:firstLine="0"/>
      </w:pPr>
      <w:bookmarkStart w:id="35" w:name="_Toc404869760"/>
      <w:bookmarkEnd w:id="35"/>
      <w:r>
        <w:t>Техническое описание контейнера для ДЭС Caterpillar мощностью 1275 кВА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36" w:name="_Toc404869761"/>
      <w:bookmarkEnd w:id="36"/>
      <w:r>
        <w:t>Общие характеристики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Утепленный цельносварной контейнер предназначен для установки в него дизельной электростанции </w:t>
      </w:r>
      <w:r>
        <w:rPr>
          <w:rFonts w:ascii="Arial Narrow" w:hAnsi="Arial Narrow"/>
          <w:sz w:val="28"/>
        </w:rPr>
        <w:t xml:space="preserve">на базе двигателя </w:t>
      </w:r>
      <w:r>
        <w:rPr>
          <w:rFonts w:ascii="Arial Narrow" w:hAnsi="Arial Narrow"/>
          <w:sz w:val="28"/>
          <w:lang w:val="en-US"/>
        </w:rPr>
        <w:t>D</w:t>
      </w:r>
      <w:r>
        <w:rPr>
          <w:rFonts w:ascii="Arial Narrow" w:hAnsi="Arial Narrow"/>
          <w:sz w:val="28"/>
        </w:rPr>
        <w:t>3512 1275 кВА, 400 В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Контейнер устанавливается в любой климатической зоне на территории РФ с минимальными отличиями в комплектации. Системы контейнера и системы ДГУ обеспечивают их эксплуатацию при температурах наружного воздуха от минус 60 </w:t>
      </w:r>
      <w:r>
        <w:rPr>
          <w:rFonts w:ascii="Arial Narrow" w:hAnsi="Arial Narrow" w:cs="Arial"/>
          <w:sz w:val="28"/>
          <w:szCs w:val="28"/>
        </w:rPr>
        <w:t>°</w:t>
      </w:r>
      <w:r>
        <w:rPr>
          <w:rFonts w:ascii="Arial Narrow" w:hAnsi="Arial Narrow"/>
          <w:sz w:val="28"/>
          <w:szCs w:val="28"/>
        </w:rPr>
        <w:t xml:space="preserve">С до плюс 40 </w:t>
      </w:r>
      <w:r>
        <w:rPr>
          <w:rFonts w:ascii="Arial Narrow" w:hAnsi="Arial Narrow" w:cs="Arial"/>
          <w:sz w:val="28"/>
          <w:szCs w:val="28"/>
        </w:rPr>
        <w:t>°</w:t>
      </w:r>
      <w:r>
        <w:rPr>
          <w:rFonts w:ascii="Arial Narrow" w:hAnsi="Arial Narrow"/>
          <w:sz w:val="28"/>
          <w:szCs w:val="28"/>
        </w:rPr>
        <w:t>С.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Цвет контейнера </w:t>
      </w:r>
      <w:r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согласно требованию Заказчика.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Контейнер имеет два заземляющих болтовых зажима, расположенных по диагонали контейнера. Все металлические нетоковедущие части электрооборудования, которые могут оказаться под напряжением вследствие повреждения изоляции, имеют электрическое соединение с корпусом контейнера.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Контейнер соответствует «Правилам устройства электроустановок», «Правилам технической эксплуатации электроустановок потребителей» и требованиям</w:t>
      </w:r>
      <w:r>
        <w:rPr>
          <w:rFonts w:ascii="Arial Narrow" w:hAnsi="Arial Narrow"/>
          <w:sz w:val="28"/>
          <w:szCs w:val="28"/>
        </w:rPr>
        <w:br/>
        <w:t>ГОСТ 12.2.007.0-75*.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Конструкцией контейнера обеспечена безопасность обслуживающего персонала от поражения электрическим током в соответствии с ГОСТ 12.1.019-79*, от травмирования вращающимися и подвижными частями и от получения ожогов от частей, нагретых до высокой температуры.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37" w:name="_Toc404869762"/>
      <w:bookmarkEnd w:id="37"/>
      <w:r>
        <w:lastRenderedPageBreak/>
        <w:t>Конструктивное исполнение контейнера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Контейнер имеет габариты, позволяющие перевозить его автомобильным или железнодорожным транспортом. Для осуществления погрузочно-разгрузочных работ предусмотрены крепления и разработана схема строповки.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Утепление контейнера выполнено из негорючих материалов 3а степени огнестойкости. Полы металлические, утепленные. Вся теплоизоляция выполнена из негорючих, экологически чистых материалов. Первоначальная установка оборудования производится через монтажные ворота/съемную заглушку в задней части контейнера.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контейнер обеспечивается доступ для проведения обслуживания через две двойные распашные двери шириной не менее 1600 мм, расположенные вдоль боковых стен контейнера, с учетом максимально доступа к агрегатам ДГУ и входные двери с размерами не менее 1900х750 мм.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нише на внешней стене рядом с входной дверью в агрегатный отсек находится кнопка аварийного останова ДГУ. На наружных дверях обязательно наличие замка и предупреждающих надписей и знаков.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Контейнер оборудован силовой амортизационной рамой под крепление ДГУ. Пол контейнера покрывается рифленым металлическим листом толщиной 3мм. ДГУ устанавливается и крепится болтами к силовой раме через виброопоры.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оборудование с ДГУ и РУ0,4 должно располагаться на площадке заказчика с габаритами не более 18м в длину и 6м в ширину.</w:t>
      </w:r>
      <w:r>
        <w:rPr>
          <w:color w:val="1F497D"/>
        </w:rPr>
        <w:t xml:space="preserve"> </w:t>
      </w:r>
      <w:r>
        <w:rPr>
          <w:rFonts w:ascii="Arial Narrow" w:hAnsi="Arial Narrow"/>
          <w:sz w:val="28"/>
          <w:szCs w:val="28"/>
        </w:rPr>
        <w:t>РУ допускается располагать в отдельном контейнере, с учетом расположения в пределах указанных габаритов площадки.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Габариты и  компоновка оборудования  согласовываются с заказчиком, не более чем  через 10 рабочих дней после подписания договора.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38" w:name="_Toc404869763"/>
      <w:bookmarkEnd w:id="38"/>
      <w:r>
        <w:t>Внутреннее размещение ДГУ</w:t>
      </w:r>
    </w:p>
    <w:p w:rsidR="00F66E8E" w:rsidRDefault="00F66E8E" w:rsidP="00F66E8E">
      <w:pPr>
        <w:shd w:val="clear" w:color="auto" w:fill="FFFFFF"/>
        <w:ind w:left="6" w:firstLine="70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Контейнер конструктивно разделен на три отсека металлической перегородкой: агрегатный, топливный и электротехнический. В агрегатном отсеке находится сама дизель-генераторная установка с радиатором (ДГУ), агрегаты системы вентиляции, узлы системы отопления и освещения, система управления, узлы топливной и масляной систем, Щит собственных нужд (ЩСН), щит системы пожарно-охранной сигнализации, топливный бак 990 л. 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39" w:name="_toc102"/>
      <w:bookmarkStart w:id="40" w:name="_Toc404869764"/>
      <w:bookmarkEnd w:id="39"/>
      <w:bookmarkEnd w:id="40"/>
      <w:r>
        <w:t>Назначение и функции системы вентиляции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Система вентиляции предназначена для снабжения ДГУ воздухом и для отвода тепла выделяющегося от ДГУ при работе. Система вентиляции рассчитана на температуру наружного воздуха от минус 60 </w:t>
      </w:r>
      <w:r>
        <w:rPr>
          <w:rFonts w:ascii="Arial Narrow" w:hAnsi="Arial Narrow" w:cs="Arial"/>
          <w:sz w:val="28"/>
          <w:szCs w:val="28"/>
        </w:rPr>
        <w:t>°</w:t>
      </w:r>
      <w:r>
        <w:rPr>
          <w:rFonts w:ascii="Arial Narrow" w:hAnsi="Arial Narrow"/>
          <w:sz w:val="28"/>
          <w:szCs w:val="28"/>
        </w:rPr>
        <w:t xml:space="preserve">С до плюс 40 </w:t>
      </w:r>
      <w:r>
        <w:rPr>
          <w:rFonts w:ascii="Arial Narrow" w:hAnsi="Arial Narrow" w:cs="Arial"/>
          <w:sz w:val="28"/>
          <w:szCs w:val="28"/>
        </w:rPr>
        <w:t>°</w:t>
      </w:r>
      <w:r>
        <w:rPr>
          <w:rFonts w:ascii="Arial Narrow" w:hAnsi="Arial Narrow"/>
          <w:sz w:val="28"/>
          <w:szCs w:val="28"/>
        </w:rPr>
        <w:t xml:space="preserve">С. 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Воздушные клапаны - автоматические с электроприводом, с возможностью ручного управления с ЩСН, входящие в систему воздухообмена, установлены на входе и выходе воздуха. Их площадь выбирается исходя из требований производителя ДГУ. Исполнитель выбирает расположение входного клапана с учетом </w:t>
      </w:r>
      <w:r>
        <w:rPr>
          <w:rFonts w:ascii="Arial Narrow" w:hAnsi="Arial Narrow" w:cs="Arial"/>
          <w:sz w:val="28"/>
        </w:rPr>
        <w:lastRenderedPageBreak/>
        <w:t>обеспечения возможности максимального доступа для обслуживания узлов ДГУ. Конструкция исполнительного механизма должна позволять закрывать клапаны при исчезновении электропитания.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На входе и выходе воздуха устанавливаются жалюзи и съемные/складные на время транспортировки снегозащитные козырьки. </w:t>
      </w:r>
      <w:r>
        <w:rPr>
          <w:rFonts w:ascii="Arial Narrow" w:eastAsia="TimesNewRomanPSMT" w:hAnsi="Arial Narrow" w:cs="Arial"/>
          <w:sz w:val="28"/>
        </w:rPr>
        <w:t>Защитные козырьки изготавливаются из листового металла с антикоррозионным покрытием. Конструкция защитных козырьков обеспечивает надёжную защиту от проникновения внутрь контейнера атмосферных осадков и посторонних предметов.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Защитные козырьки имеют такую конструкцию, чтобы не ограничивать поток воздуха через вентиляционное отверстие и предотвращают самопроизвольное их закрытие/открытие под воздействием ветра, вибрации и т.д.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Циркуляция охлаждающего воздуха в контейнере производится вентилятором радиатора ДГУ.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Система вентиляции также обеспечивает удаление картерных газов из контейнера в атмосферу.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1" w:name="_Toc404869765"/>
      <w:bookmarkEnd w:id="41"/>
      <w:r>
        <w:t>Система охлаждения ДГУ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Система охлаждения ДГУ полностью смонтирована на двигателе и требует минимальной подготовки перед включением ДГУ в работу. Система охлаждения ДГУ предусмотрена для устойчивой работы во время резких перепадов температур. Установлен вентиль со шлангом для слива охлаждающей жидкости из радиатора.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iCs/>
          <w:sz w:val="28"/>
        </w:rPr>
      </w:pPr>
      <w:r>
        <w:rPr>
          <w:rFonts w:ascii="Arial Narrow" w:hAnsi="Arial Narrow"/>
          <w:iCs/>
          <w:sz w:val="28"/>
        </w:rPr>
        <w:t>Устанавливается дизельный электрический подогреватель ОЖ мощностью не менее 9кВт.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2" w:name="_Toc404869766"/>
      <w:bookmarkEnd w:id="42"/>
      <w:r>
        <w:t>Система освещения и внутренней розеточной сети</w:t>
      </w:r>
    </w:p>
    <w:p w:rsidR="00F66E8E" w:rsidRDefault="00F66E8E" w:rsidP="00F66E8E">
      <w:pPr>
        <w:pStyle w:val="a3"/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составе блок-модуля должны быть предусмотрены следующие системы освещения:</w:t>
      </w:r>
    </w:p>
    <w:p w:rsidR="00F66E8E" w:rsidRDefault="00F66E8E" w:rsidP="00F66E8E">
      <w:pPr>
        <w:pStyle w:val="a3"/>
        <w:numPr>
          <w:ilvl w:val="0"/>
          <w:numId w:val="6"/>
        </w:numPr>
        <w:spacing w:line="276" w:lineRule="auto"/>
        <w:rPr>
          <w:rFonts w:ascii="Arial Narrow" w:hAnsi="Arial Narrow"/>
          <w:iCs/>
          <w:sz w:val="28"/>
          <w:szCs w:val="24"/>
        </w:rPr>
      </w:pPr>
      <w:r>
        <w:rPr>
          <w:rFonts w:ascii="Arial Narrow" w:hAnsi="Arial Narrow"/>
          <w:iCs/>
          <w:sz w:val="28"/>
          <w:szCs w:val="24"/>
        </w:rPr>
        <w:t>рабочее</w:t>
      </w:r>
    </w:p>
    <w:p w:rsidR="00F66E8E" w:rsidRDefault="00F66E8E" w:rsidP="00F66E8E">
      <w:pPr>
        <w:pStyle w:val="a3"/>
        <w:numPr>
          <w:ilvl w:val="0"/>
          <w:numId w:val="6"/>
        </w:numPr>
        <w:spacing w:line="276" w:lineRule="auto"/>
        <w:rPr>
          <w:rFonts w:ascii="Arial Narrow" w:hAnsi="Arial Narrow"/>
          <w:iCs/>
          <w:sz w:val="28"/>
          <w:szCs w:val="24"/>
        </w:rPr>
      </w:pPr>
      <w:r>
        <w:rPr>
          <w:rFonts w:ascii="Arial Narrow" w:hAnsi="Arial Narrow"/>
          <w:iCs/>
          <w:sz w:val="28"/>
          <w:szCs w:val="24"/>
        </w:rPr>
        <w:t>аварийное.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Включение освещения производится выключателем со степенью защиты не ниже IP 34 и установленным рядом с входной дверью внутри контейнера. Питание освещения осуществляется со щита СН.  Аварийное освещение в составе светильников с собственными источниками питания (светильники со встроенными аккумуляторами).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3" w:name="_Toc404869767"/>
      <w:bookmarkEnd w:id="43"/>
      <w:r>
        <w:t>Система отопления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Система отопления предназначена для подогрева внутреннего помещения контейнера при неработающей ДГУ. Питание подогревателей – 220 В.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Система отопления рассчитана на поддержание температуры внутреннего воздуха в холодный период года плюс 10 </w:t>
      </w:r>
      <w:r>
        <w:rPr>
          <w:rFonts w:ascii="Arial Narrow" w:hAnsi="Arial Narrow" w:cs="Arial"/>
          <w:sz w:val="28"/>
          <w:szCs w:val="28"/>
        </w:rPr>
        <w:t>°</w:t>
      </w:r>
      <w:r>
        <w:rPr>
          <w:rFonts w:ascii="Arial Narrow" w:hAnsi="Arial Narrow"/>
          <w:sz w:val="28"/>
          <w:szCs w:val="28"/>
        </w:rPr>
        <w:t xml:space="preserve">С.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Система отопления запитана от шкафа собственных нужд от автоматов (каждый подогреватель со своим автоматом).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Обогрев отсека ДГУ включается при неработающей ДГУ (в зависимости от показаний датчиков) и отключается при ее запуске.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Подключение нагревательных приборов выполнено от ЩСН.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4" w:name="_Toc404869768"/>
      <w:bookmarkEnd w:id="44"/>
      <w:r>
        <w:t>Система охранно-пожарной безопасности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Система пожаротушения предназначена для ликвидации очагов возгорания внутри контейнера.</w:t>
      </w:r>
      <w:r>
        <w:rPr>
          <w:rFonts w:ascii="Arial Narrow" w:eastAsia="TimesNewRomanPSMT" w:hAnsi="Arial Narrow" w:cs="Calibri"/>
        </w:rPr>
        <w:t xml:space="preserve"> </w:t>
      </w:r>
      <w:r>
        <w:rPr>
          <w:rFonts w:ascii="Arial Narrow" w:hAnsi="Arial Narrow"/>
          <w:sz w:val="28"/>
          <w:szCs w:val="28"/>
        </w:rPr>
        <w:t>Контейнер оснащается системами автоматической пожарной сигнализации и порошкового пожаротушения в соответствии с требованиями</w:t>
      </w:r>
      <w:r>
        <w:rPr>
          <w:rFonts w:ascii="Arial Narrow" w:hAnsi="Arial Narrow"/>
          <w:sz w:val="28"/>
          <w:szCs w:val="28"/>
        </w:rPr>
        <w:br/>
        <w:t xml:space="preserve">НПБ 88-2001* и НПБ 110-03.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Оборудование охранно-пожарной сигнализации обеспечивает: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ручной пуск системы пожаротушения от кнопки у входа в контейнер;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автоматическое включение предупредительного табло, установленного в нише рядом с входной дверью, о начале пуска средств пожаротушения;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автоматический пуск огнетушащего вещества через 30 секунд после включения информационных табло и наличие закрытых дверей в контейнере;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сигнализацию об отключении автоматического пуска средств пожаротушения;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контроль исправности информационных табло о начале пуска средств пожаротушения;</w:t>
      </w:r>
    </w:p>
    <w:p w:rsidR="00F66E8E" w:rsidRDefault="00F66E8E" w:rsidP="00F66E8E">
      <w:pPr>
        <w:numPr>
          <w:ilvl w:val="0"/>
          <w:numId w:val="1"/>
        </w:numPr>
        <w:tabs>
          <w:tab w:val="left" w:pos="1276"/>
        </w:tabs>
        <w:ind w:left="709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отключение автоматического и дистанционного пуска системы пожаротушения при открывании дверей в контейнер.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 местам возможного возникновения пламени относятся турбонагнетатели двигателя и выхлопной коллектор, шкаф собственных нужд, генератор.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Внутри контейнера в непосредственно близости от входных дверей предусмотрены огнетушители на кронштейнах.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5" w:name="_Toc404869769"/>
      <w:bookmarkEnd w:id="45"/>
      <w:r>
        <w:t>Топливная и масляная системы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Топливная система предназначена для снабжения ДГУ дизельным топливом. Снабжение топливом ДГУ происходит из расходного металлического бака объемом 990 л. Расходный бак заполняется дизельным топливом от внешнего топливохранилища или топливозаправщика. 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Топливный бак оборудован следующими устройствами: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Датчики уровня топлива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Заливная горловина для заправки от топливозаправщика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Переливной трубопровод с выводом за пределы контейнера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Трубопровод отсечного топлива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Электрический насос автоматической подкачки топлива из внешней емкости 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Ручной дублирующий насос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Трубопроводная и запорная арматура</w:t>
      </w:r>
    </w:p>
    <w:p w:rsidR="00F66E8E" w:rsidRDefault="00F66E8E" w:rsidP="00F66E8E">
      <w:pPr>
        <w:pStyle w:val="a3"/>
        <w:numPr>
          <w:ilvl w:val="0"/>
          <w:numId w:val="4"/>
        </w:numPr>
        <w:ind w:left="11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Электромагнитный клапан, препятствующий самопроизвольному опорожнению бака.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Топливный бак оборудован дыхательной системой, выведенной за пределы контейнера и оснащенной воздушным клапаном с огнепреградителем.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Конструкцией топливного бака предусмотрена возможность отстоя и слива воды и осадка.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Масляная система предназначена для обеспечения бесперебойной подачи фильтрованного и охлажденного масла из картера ко всем узлам трения ДГУ. Масляная система полностью смонтирована на ДГУ и не требует доработки.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6" w:name="_Toc404869770"/>
      <w:bookmarkEnd w:id="46"/>
      <w:r>
        <w:t>Система выпуска отработанных газов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Система выпуска отработанных газов предназначена для удаления продуктов горения топлива, и состоит из компенсаторов тепловых расширений выпускного тракта, газохода, труб выхлопа.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7" w:name="_Toc404869771"/>
      <w:bookmarkEnd w:id="47"/>
      <w:r>
        <w:t>Система управления питанием собственных нужд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Назначение системы управления собственных нужд – обеспечение питанием устройств контейнера для надежной и безостановочной работы ДГУ. Система состоит из шкафа питания собственных нужд, кабельного ввода от внешнего источника, кабельной разводки по контейнеру.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Расположение ввода кабеля питания собственных нужд определяется после заказа. Вся внутренняя прокладка силовых кабелей выполнена по металлическим полкам и металлическим трубам (лоткам).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Вся проводка внутри шкафа имеет нумерацию, все клеммы имеют нумерацию, идентичную схемам подключения. Кабельные вводы в ЩСН выполнены в сальниках.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Шкаф собственных нужд подключается силовым кабелем к внешнему источнику 400 В или с шин генераторной установки.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Стартовые аккумуляторные батареи поставляются сухозаряженными. Питание ЗУ  прекращается с поступлением сигнала от ДГУ «ДГУ в работе».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48" w:name="_Toc404869772"/>
      <w:bookmarkStart w:id="49" w:name="_Toc400630714"/>
      <w:bookmarkEnd w:id="48"/>
      <w:bookmarkEnd w:id="49"/>
      <w:r>
        <w:t>Щит собственных нужд (ЩСН)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Щит СН питается от внешнего источника энергоснабжения и служит для питания потребителей контейнера электроэнергией. В щите СН применяется электротехническое оборудование ABB/Legrand либо аналог не уступающий по характеристикам и качеству. Для подключения дополнительного электрооборудования установлена 1 розетка со степенью защиты не ниже IP 34. 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Внутренний монтаж кабельной продукции производится по стенe и потолку контейнера в соответствии с ПУЭ. Выход силовых кабелей от генератора производится по полу контейнера, сверху кабели закрываются металлическим трапом, Ввод в щиты выполнить через кабельные уплотнения.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Для каждой группы потребителей (освещение, отопление, вентиляция, обогрев дизеля) смонтировать отдельные автоматические выключатели и один вводной.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На двери шкафов с внутренней стороны прикрепить однолинейные схемы с возможностью их изъятия для внесения корректировок. Нанести маркировку на установленные элементы внутри шкафов.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Все жилы проводов и кабелей внутренней проводки должны иметь маркировку в соответствии с правилами устройства электроустановок (ПУЭ). </w:t>
      </w:r>
    </w:p>
    <w:p w:rsidR="00F66E8E" w:rsidRDefault="00F66E8E" w:rsidP="00F66E8E">
      <w:pPr>
        <w:spacing w:line="276" w:lineRule="auto"/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Предусмотрено автоматическое зарядное устройство АКБ.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bookmarkStart w:id="50" w:name="_Toc400630715"/>
      <w:r>
        <w:rPr>
          <w:rFonts w:ascii="Arial Narrow" w:hAnsi="Arial Narrow" w:cs="Arial"/>
          <w:sz w:val="28"/>
        </w:rPr>
        <w:t>Силовой автоматический выключатель размещен в отдельном щите на кожухе ДГУ.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51" w:name="_Toc404869773"/>
      <w:bookmarkEnd w:id="50"/>
      <w:bookmarkEnd w:id="51"/>
      <w:r>
        <w:lastRenderedPageBreak/>
        <w:t>Панель управления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Установленная панель управления обеспечивает: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1. Ручной пуск/останов ДГУ с панели управления.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2. Автоматический экстренный останов ДГУ при неисправности или при срабатывании защит двигателя или генератора.</w:t>
      </w:r>
    </w:p>
    <w:p w:rsidR="00F66E8E" w:rsidRDefault="00F66E8E" w:rsidP="00F66E8E">
      <w:pPr>
        <w:ind w:firstLine="709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3. Предупредительную сигнализацию по предельным параметрам работы ДГУ с последующим отключением нагрузки, остановом и включением аварийной сигнализации при: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недопустимом понижении давления масла в системе смазки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недопустимом повышении температуры масла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недопустимом снижении/увеличении частоты вращения вала двигателя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срабатывании токовых защит генератора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недопустимом повышении температуры охлаждающей жидкости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снижении уровня охлаждающей жидкости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незавершенной остановке</w:t>
      </w:r>
    </w:p>
    <w:p w:rsidR="00F66E8E" w:rsidRDefault="00F66E8E" w:rsidP="00F66E8E">
      <w:pPr>
        <w:pStyle w:val="a3"/>
        <w:numPr>
          <w:ilvl w:val="0"/>
          <w:numId w:val="7"/>
        </w:numPr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неудавшемся пуске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Вся проводка внутри шкафа имеет нумерацию, все клеммы имеют нумерацию, идентичную схемам подключения.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52" w:name="_Toc396741812"/>
      <w:bookmarkStart w:id="53" w:name="_Toc404869774"/>
      <w:r>
        <w:t>Система</w:t>
      </w:r>
      <w:bookmarkEnd w:id="52"/>
      <w:r>
        <w:t xml:space="preserve"> управления</w:t>
      </w:r>
      <w:bookmarkEnd w:id="53"/>
      <w:r>
        <w:t xml:space="preserve"> </w:t>
      </w:r>
    </w:p>
    <w:p w:rsidR="00F66E8E" w:rsidRDefault="00F66E8E" w:rsidP="00F66E8E">
      <w:pPr>
        <w:ind w:firstLine="426"/>
        <w:jc w:val="both"/>
        <w:rPr>
          <w:rFonts w:ascii="Arial Narrow" w:hAnsi="Arial Narrow" w:cs="Calibri"/>
          <w:bCs/>
        </w:rPr>
      </w:pP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Исполнитель поставляет шкаф управления синхронизацией  ДГУ в составе: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•</w:t>
      </w:r>
      <w:r>
        <w:rPr>
          <w:rFonts w:ascii="Arial Narrow" w:eastAsia="TimesNewRomanPSMT" w:hAnsi="Arial Narrow" w:cs="Arial"/>
          <w:sz w:val="28"/>
        </w:rPr>
        <w:tab/>
        <w:t>Клемные колодки для принятия/выдачи управляющих сигналов в/от ДГУ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•</w:t>
      </w:r>
      <w:r>
        <w:rPr>
          <w:rFonts w:ascii="Arial Narrow" w:eastAsia="TimesNewRomanPSMT" w:hAnsi="Arial Narrow" w:cs="Arial"/>
          <w:sz w:val="28"/>
        </w:rPr>
        <w:tab/>
        <w:t>Шинное хозяйство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•</w:t>
      </w:r>
      <w:r>
        <w:rPr>
          <w:rFonts w:ascii="Arial Narrow" w:eastAsia="TimesNewRomanPSMT" w:hAnsi="Arial Narrow" w:cs="Arial"/>
          <w:sz w:val="28"/>
        </w:rPr>
        <w:tab/>
        <w:t>Устройства защиты и индикации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•</w:t>
      </w:r>
      <w:r>
        <w:rPr>
          <w:rFonts w:ascii="Arial Narrow" w:eastAsia="TimesNewRomanPSMT" w:hAnsi="Arial Narrow" w:cs="Arial"/>
          <w:sz w:val="28"/>
        </w:rPr>
        <w:tab/>
        <w:t>Измерительная аппаратура для обеспечения корректной работы контроллера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Предусмотреть технологические проемы в продольной стене контейнера для ввода кабеля собственных нужд и кабелей деления нагрузки.</w:t>
      </w:r>
    </w:p>
    <w:p w:rsidR="00F66E8E" w:rsidRDefault="00F66E8E" w:rsidP="00F66E8E">
      <w:pPr>
        <w:ind w:firstLine="709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 xml:space="preserve">По сигналу  сухого контакта предусмотрена возможность вывода в АСУ ТП ГТЭС информации о состоянии ДГУ, подача команды на запуск и останов двигателя. 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54" w:name="_Toc404869775"/>
      <w:bookmarkEnd w:id="54"/>
      <w:r>
        <w:t>Распределительное устройство 0,4 кВ</w:t>
      </w:r>
    </w:p>
    <w:p w:rsidR="00F66E8E" w:rsidRDefault="00F66E8E" w:rsidP="00F66E8E">
      <w:pPr>
        <w:pStyle w:val="3"/>
        <w:ind w:left="1418" w:firstLine="0"/>
      </w:pPr>
    </w:p>
    <w:p w:rsidR="00F66E8E" w:rsidRDefault="00F66E8E" w:rsidP="00F66E8E">
      <w:pPr>
        <w:pStyle w:val="a3"/>
        <w:ind w:left="142" w:firstLine="567"/>
        <w:jc w:val="both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 xml:space="preserve">В комплект поставки входит распредустройство 0,4 кВ с ячейкой генераторного выключателя и 6 фидерных выключателей (4 отходящие по 2000А и 2 выключателя по 1000А). </w:t>
      </w:r>
    </w:p>
    <w:p w:rsidR="00F66E8E" w:rsidRDefault="00F66E8E" w:rsidP="00F66E8E">
      <w:pPr>
        <w:pStyle w:val="a3"/>
        <w:ind w:left="142"/>
        <w:jc w:val="both"/>
      </w:pPr>
      <w:r>
        <w:rPr>
          <w:noProof/>
        </w:rPr>
        <w:lastRenderedPageBreak/>
        <w:drawing>
          <wp:inline distT="0" distB="0" distL="0" distR="0" wp14:anchorId="66FE84A8" wp14:editId="4D34182B">
            <wp:extent cx="6116320" cy="530542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8E" w:rsidRDefault="00F66E8E" w:rsidP="00F66E8E">
      <w:pPr>
        <w:pStyle w:val="a3"/>
        <w:ind w:left="0"/>
        <w:jc w:val="center"/>
        <w:rPr>
          <w:rFonts w:ascii="Arial Narrow" w:eastAsia="TimesNewRomanPSMT" w:hAnsi="Arial Narrow" w:cs="Arial"/>
          <w:sz w:val="28"/>
        </w:rPr>
      </w:pPr>
    </w:p>
    <w:p w:rsidR="00F66E8E" w:rsidRDefault="00F66E8E" w:rsidP="00F66E8E">
      <w:pPr>
        <w:pStyle w:val="a3"/>
        <w:ind w:left="0"/>
        <w:jc w:val="center"/>
      </w:pPr>
      <w:r>
        <w:rPr>
          <w:noProof/>
        </w:rPr>
        <w:drawing>
          <wp:inline distT="0" distB="0" distL="0" distR="0" wp14:anchorId="378AD93D" wp14:editId="64BCC908">
            <wp:extent cx="6114415" cy="313817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8E" w:rsidRDefault="00F66E8E" w:rsidP="00F66E8E">
      <w:pPr>
        <w:pStyle w:val="a3"/>
        <w:ind w:left="0"/>
        <w:jc w:val="center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Предварительный габаритный чертеж</w:t>
      </w:r>
    </w:p>
    <w:p w:rsidR="00F66E8E" w:rsidRDefault="00F66E8E" w:rsidP="00F66E8E">
      <w:pPr>
        <w:pStyle w:val="a3"/>
        <w:ind w:left="0"/>
        <w:jc w:val="center"/>
        <w:rPr>
          <w:rFonts w:ascii="Arial Narrow" w:eastAsia="TimesNewRomanPSMT" w:hAnsi="Arial Narrow" w:cs="Arial"/>
          <w:sz w:val="28"/>
        </w:rPr>
      </w:pPr>
    </w:p>
    <w:p w:rsidR="00F66E8E" w:rsidRDefault="00F66E8E" w:rsidP="00F66E8E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45D1ADB2" wp14:editId="18016952">
            <wp:extent cx="6113780" cy="370014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8E" w:rsidRDefault="00F66E8E" w:rsidP="00F66E8E">
      <w:pPr>
        <w:pStyle w:val="a3"/>
        <w:ind w:left="0"/>
        <w:jc w:val="center"/>
        <w:rPr>
          <w:rFonts w:ascii="Arial Narrow" w:eastAsia="TimesNewRomanPSMT" w:hAnsi="Arial Narrow" w:cs="Arial"/>
          <w:sz w:val="28"/>
        </w:rPr>
      </w:pPr>
      <w:r>
        <w:rPr>
          <w:rFonts w:ascii="Arial Narrow" w:eastAsia="TimesNewRomanPSMT" w:hAnsi="Arial Narrow" w:cs="Arial"/>
          <w:sz w:val="28"/>
        </w:rPr>
        <w:t>Предварительная компоновка РУ</w:t>
      </w:r>
    </w:p>
    <w:p w:rsidR="00F66E8E" w:rsidRDefault="00F66E8E" w:rsidP="00F66E8E">
      <w:pPr>
        <w:pStyle w:val="a3"/>
        <w:ind w:left="0"/>
        <w:jc w:val="center"/>
        <w:rPr>
          <w:rFonts w:ascii="Arial Narrow" w:eastAsia="TimesNewRomanPSMT" w:hAnsi="Arial Narrow" w:cs="Arial"/>
          <w:sz w:val="28"/>
        </w:rPr>
      </w:pPr>
    </w:p>
    <w:p w:rsidR="00F66E8E" w:rsidRDefault="00F66E8E" w:rsidP="00F66E8E">
      <w:pPr>
        <w:pStyle w:val="2"/>
        <w:numPr>
          <w:ilvl w:val="1"/>
          <w:numId w:val="2"/>
        </w:numPr>
        <w:ind w:left="1797" w:firstLine="0"/>
      </w:pPr>
      <w:bookmarkStart w:id="55" w:name="_Toc404869776"/>
      <w:r>
        <w:t>Дополнительная информация</w:t>
      </w:r>
      <w:bookmarkEnd w:id="55"/>
      <w:r>
        <w:t xml:space="preserve"> 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56" w:name="_Toc404869777"/>
      <w:bookmarkStart w:id="57" w:name="_Toc380063048"/>
      <w:bookmarkEnd w:id="56"/>
      <w:bookmarkEnd w:id="57"/>
      <w:r>
        <w:t>Документация, поставляемая с контейнером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Исполнитель предоставляет Заказчику следующие документы:</w:t>
      </w:r>
    </w:p>
    <w:p w:rsidR="00F66E8E" w:rsidRDefault="00F66E8E" w:rsidP="00F66E8E">
      <w:pPr>
        <w:ind w:firstLine="851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 - паспорта, сертификаты соответствия и инструкции на все комплектующие изделия, примененные при монтаже;</w:t>
      </w:r>
    </w:p>
    <w:p w:rsidR="00F66E8E" w:rsidRDefault="00F66E8E" w:rsidP="00F66E8E">
      <w:pPr>
        <w:ind w:firstLine="851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 - паспорт и руководство по эксплуатации на дизель-генераторную установку Caterpillar 3512 на русском языке;</w:t>
      </w:r>
    </w:p>
    <w:p w:rsidR="00F66E8E" w:rsidRDefault="00F66E8E" w:rsidP="00F66E8E">
      <w:pPr>
        <w:ind w:firstLine="851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 - паспорт на дизель-генератор Caterpillar 3512 с внесенными уставками в панель управления от официального дилера.</w:t>
      </w:r>
    </w:p>
    <w:p w:rsidR="00F66E8E" w:rsidRDefault="00F66E8E" w:rsidP="00F66E8E">
      <w:pPr>
        <w:ind w:firstLine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 - электрические схемы на дизель-генераторную установку и внутреннюю проводку в контейнере. </w:t>
      </w:r>
    </w:p>
    <w:p w:rsidR="00F66E8E" w:rsidRDefault="00F66E8E" w:rsidP="00F66E8E">
      <w:pPr>
        <w:ind w:left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Документация  представлена на русском языке в печатном виде.</w:t>
      </w:r>
    </w:p>
    <w:p w:rsidR="00F66E8E" w:rsidRDefault="00F66E8E" w:rsidP="00F66E8E">
      <w:pPr>
        <w:pStyle w:val="3"/>
        <w:numPr>
          <w:ilvl w:val="2"/>
          <w:numId w:val="2"/>
        </w:numPr>
        <w:ind w:left="1418" w:hanging="709"/>
      </w:pPr>
      <w:bookmarkStart w:id="58" w:name="_Toc404869778"/>
      <w:bookmarkStart w:id="59" w:name="_Toc380063049"/>
      <w:bookmarkEnd w:id="58"/>
      <w:bookmarkEnd w:id="59"/>
      <w:r>
        <w:t>Требования безопасности</w:t>
      </w:r>
    </w:p>
    <w:p w:rsidR="00F66E8E" w:rsidRDefault="00F66E8E" w:rsidP="00F66E8E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Контейнер обеспечивает безопасность обслуживающего персонала от поражения электрическим током в соответствии с ГОСТ, обеспечивает защиту от травмирования вращающимися и подвижными частями и от получения ожогов от частей, имеющих высокую температуру.</w:t>
      </w:r>
    </w:p>
    <w:p w:rsidR="00F06480" w:rsidRDefault="002A7795"/>
    <w:sectPr w:rsidR="00F0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1E5"/>
    <w:multiLevelType w:val="multilevel"/>
    <w:tmpl w:val="B11C19E2"/>
    <w:lvl w:ilvl="0">
      <w:start w:val="2"/>
      <w:numFmt w:val="decimal"/>
      <w:lvlText w:val="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  <w:i w:val="0"/>
        <w:u w:val="none"/>
      </w:rPr>
    </w:lvl>
  </w:abstractNum>
  <w:abstractNum w:abstractNumId="1" w15:restartNumberingAfterBreak="0">
    <w:nsid w:val="26681EE9"/>
    <w:multiLevelType w:val="multilevel"/>
    <w:tmpl w:val="F684E54C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F564A"/>
    <w:multiLevelType w:val="multilevel"/>
    <w:tmpl w:val="34646530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421B0"/>
    <w:multiLevelType w:val="multilevel"/>
    <w:tmpl w:val="20A01868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0C1CF4"/>
    <w:multiLevelType w:val="multilevel"/>
    <w:tmpl w:val="F1C6D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30F36"/>
    <w:multiLevelType w:val="multilevel"/>
    <w:tmpl w:val="9170F57A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2902E4"/>
    <w:multiLevelType w:val="multilevel"/>
    <w:tmpl w:val="0E4A93E8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9B68E2"/>
    <w:multiLevelType w:val="multilevel"/>
    <w:tmpl w:val="DCBCD262"/>
    <w:lvl w:ilvl="0">
      <w:start w:val="2"/>
      <w:numFmt w:val="decimal"/>
      <w:pStyle w:val="3"/>
      <w:lvlText w:val="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  <w:i w:val="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E"/>
    <w:rsid w:val="002A7795"/>
    <w:rsid w:val="005C4438"/>
    <w:rsid w:val="005D3904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40D"/>
  <w15:docId w15:val="{E225E162-DC7D-4D89-9BDF-65BC386A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8E"/>
    <w:pPr>
      <w:ind w:left="720"/>
      <w:contextualSpacing/>
    </w:pPr>
    <w:rPr>
      <w:sz w:val="20"/>
      <w:szCs w:val="20"/>
    </w:rPr>
  </w:style>
  <w:style w:type="paragraph" w:customStyle="1" w:styleId="3">
    <w:name w:val="Загол 3"/>
    <w:basedOn w:val="a3"/>
    <w:qFormat/>
    <w:rsid w:val="00F66E8E"/>
    <w:pPr>
      <w:numPr>
        <w:numId w:val="8"/>
      </w:numPr>
      <w:spacing w:before="240" w:after="120"/>
    </w:pPr>
    <w:rPr>
      <w:rFonts w:ascii="Arial Narrow" w:hAnsi="Arial Narrow"/>
      <w:b/>
      <w:iCs/>
      <w:sz w:val="28"/>
      <w:szCs w:val="28"/>
      <w:u w:val="single"/>
    </w:rPr>
  </w:style>
  <w:style w:type="paragraph" w:customStyle="1" w:styleId="2">
    <w:name w:val="Загол 2"/>
    <w:basedOn w:val="a3"/>
    <w:qFormat/>
    <w:rsid w:val="00F66E8E"/>
    <w:pPr>
      <w:spacing w:before="240" w:after="240"/>
      <w:ind w:left="360" w:hanging="360"/>
    </w:pPr>
    <w:rPr>
      <w:rFonts w:ascii="Arial Narrow" w:hAnsi="Arial Narrow"/>
      <w:b/>
      <w:sz w:val="28"/>
      <w:szCs w:val="28"/>
    </w:rPr>
  </w:style>
  <w:style w:type="paragraph" w:customStyle="1" w:styleId="a4">
    <w:name w:val="Содержимое врезки"/>
    <w:basedOn w:val="a"/>
    <w:rsid w:val="00F66E8E"/>
  </w:style>
  <w:style w:type="paragraph" w:styleId="a5">
    <w:name w:val="Balloon Text"/>
    <w:basedOn w:val="a"/>
    <w:link w:val="a6"/>
    <w:uiPriority w:val="99"/>
    <w:semiHidden/>
    <w:unhideWhenUsed/>
    <w:rsid w:val="00F6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7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2589</Words>
  <Characters>14763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2020-03-31T15:33:00Z</dcterms:created>
  <dcterms:modified xsi:type="dcterms:W3CDTF">2020-06-09T17:15:00Z</dcterms:modified>
</cp:coreProperties>
</file>